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54" w:rsidRDefault="005767AE">
      <w:pPr>
        <w:spacing w:line="640" w:lineRule="exact"/>
        <w:rPr>
          <w:rFonts w:ascii="黑体" w:eastAsia="黑体" w:hAnsi="黑体" w:cs="黑体"/>
          <w:color w:val="000000" w:themeColor="text1"/>
          <w:sz w:val="32"/>
        </w:rPr>
      </w:pPr>
      <w:r>
        <w:rPr>
          <w:rFonts w:ascii="黑体" w:eastAsia="黑体" w:hAnsi="黑体" w:cs="黑体" w:hint="eastAsia"/>
          <w:color w:val="000000" w:themeColor="text1"/>
          <w:sz w:val="32"/>
        </w:rPr>
        <w:t>附件</w:t>
      </w:r>
      <w:r w:rsidR="00AA3259">
        <w:rPr>
          <w:rFonts w:ascii="黑体" w:eastAsia="黑体" w:hAnsi="黑体" w:cs="黑体" w:hint="eastAsia"/>
          <w:color w:val="000000" w:themeColor="text1"/>
          <w:sz w:val="32"/>
        </w:rPr>
        <w:t>2</w:t>
      </w:r>
    </w:p>
    <w:p w:rsidR="00510454" w:rsidRDefault="00510454">
      <w:pPr>
        <w:spacing w:line="640" w:lineRule="exact"/>
        <w:rPr>
          <w:rFonts w:ascii="黑体" w:eastAsia="黑体" w:hAnsi="黑体" w:cs="黑体"/>
          <w:color w:val="000000" w:themeColor="text1"/>
          <w:sz w:val="32"/>
        </w:rPr>
      </w:pPr>
    </w:p>
    <w:p w:rsidR="00510454" w:rsidRDefault="005767AE">
      <w:pPr>
        <w:spacing w:line="640" w:lineRule="exact"/>
        <w:jc w:val="center"/>
        <w:rPr>
          <w:rFonts w:ascii="黑体" w:eastAsia="黑体"/>
          <w:color w:val="000000" w:themeColor="text1"/>
          <w:sz w:val="36"/>
          <w:szCs w:val="36"/>
        </w:rPr>
      </w:pPr>
      <w:r>
        <w:rPr>
          <w:rFonts w:ascii="黑体" w:eastAsia="黑体" w:hAnsi="华文中宋" w:hint="eastAsia"/>
          <w:color w:val="000000" w:themeColor="text1"/>
          <w:sz w:val="36"/>
          <w:szCs w:val="36"/>
        </w:rPr>
        <w:t xml:space="preserve"> </w:t>
      </w:r>
      <w:r>
        <w:rPr>
          <w:rFonts w:ascii="黑体" w:eastAsia="黑体" w:hint="eastAsia"/>
          <w:color w:val="000000" w:themeColor="text1"/>
          <w:sz w:val="36"/>
          <w:szCs w:val="36"/>
        </w:rPr>
        <w:t>2021山东企业100强、工业企业100强申报表</w:t>
      </w:r>
    </w:p>
    <w:p w:rsidR="00510454" w:rsidRDefault="005767AE">
      <w:pPr>
        <w:spacing w:line="640" w:lineRule="exact"/>
        <w:jc w:val="center"/>
        <w:rPr>
          <w:rFonts w:ascii="黑体" w:eastAsia="黑体"/>
          <w:color w:val="000000" w:themeColor="text1"/>
          <w:sz w:val="32"/>
          <w:szCs w:val="32"/>
        </w:rPr>
      </w:pPr>
      <w:r>
        <w:rPr>
          <w:rFonts w:ascii="黑体" w:eastAsia="黑体" w:hint="eastAsia"/>
          <w:color w:val="000000" w:themeColor="text1"/>
          <w:sz w:val="36"/>
          <w:szCs w:val="36"/>
        </w:rPr>
        <w:t>填</w:t>
      </w:r>
      <w:r w:rsidR="00DA3633">
        <w:rPr>
          <w:rFonts w:ascii="黑体" w:eastAsia="黑体" w:hint="eastAsia"/>
          <w:color w:val="000000" w:themeColor="text1"/>
          <w:sz w:val="36"/>
          <w:szCs w:val="36"/>
        </w:rPr>
        <w:t xml:space="preserve">  </w:t>
      </w:r>
      <w:r>
        <w:rPr>
          <w:rFonts w:ascii="黑体" w:eastAsia="黑体" w:hint="eastAsia"/>
          <w:color w:val="000000" w:themeColor="text1"/>
          <w:sz w:val="36"/>
          <w:szCs w:val="36"/>
        </w:rPr>
        <w:t>表</w:t>
      </w:r>
      <w:r w:rsidR="00DA3633">
        <w:rPr>
          <w:rFonts w:ascii="黑体" w:eastAsia="黑体" w:hint="eastAsia"/>
          <w:color w:val="000000" w:themeColor="text1"/>
          <w:sz w:val="36"/>
          <w:szCs w:val="36"/>
        </w:rPr>
        <w:t xml:space="preserve">  </w:t>
      </w:r>
      <w:r>
        <w:rPr>
          <w:rFonts w:ascii="黑体" w:eastAsia="黑体" w:hint="eastAsia"/>
          <w:color w:val="000000" w:themeColor="text1"/>
          <w:sz w:val="36"/>
          <w:szCs w:val="36"/>
        </w:rPr>
        <w:t>说</w:t>
      </w:r>
      <w:r w:rsidR="00DA3633">
        <w:rPr>
          <w:rFonts w:ascii="黑体" w:eastAsia="黑体" w:hint="eastAsia"/>
          <w:color w:val="000000" w:themeColor="text1"/>
          <w:sz w:val="36"/>
          <w:szCs w:val="36"/>
        </w:rPr>
        <w:t xml:space="preserve">  </w:t>
      </w:r>
      <w:r>
        <w:rPr>
          <w:rFonts w:ascii="黑体" w:eastAsia="黑体" w:hint="eastAsia"/>
          <w:color w:val="000000" w:themeColor="text1"/>
          <w:sz w:val="36"/>
          <w:szCs w:val="36"/>
        </w:rPr>
        <w:t>明</w:t>
      </w:r>
    </w:p>
    <w:p w:rsidR="00510454" w:rsidRDefault="00510454" w:rsidP="00807BFD">
      <w:pPr>
        <w:spacing w:line="520" w:lineRule="exact"/>
        <w:jc w:val="center"/>
        <w:rPr>
          <w:rFonts w:ascii="华文中宋" w:eastAsia="华文中宋" w:hAnsi="华文中宋"/>
          <w:b/>
          <w:color w:val="000000" w:themeColor="text1"/>
          <w:sz w:val="36"/>
          <w:szCs w:val="20"/>
        </w:rPr>
      </w:pP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2021山东企业100强、工业企业100强申报表主要栏目填报说明如下：</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一、企业性质栏：请从“国有”、“民营”两种性质中选一项打√。国有是指国有及国有控股企业,民营是指非国有企业，包括集体和私营企业等。</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二、生产的产品或提供的服务栏：指企业生产的主要产品或提供的主要服务，按在营业收入的占比由大到小排列，最多不超过3项。(必须填写)</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三、指标栏：所有指标均按企业合并财务报表的数据填报，金额单位：万元人民币。合并财务报表的合并范围应当以控制为基础予以确定。</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lastRenderedPageBreak/>
        <w:t>利润总额：所得税税前的利润。</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净利润：利润总额扣除所得税。</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归属母公司所有者净利润：净利润扣除少数股东损益。</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资产总额：年末的资产总额。</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所有者权益：年末的所有者权益总额。</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归属母公司所有者权益：所有者权益扣除少数股东权益。</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510454" w:rsidRDefault="005767AE" w:rsidP="00807BFD">
      <w:pPr>
        <w:spacing w:line="620" w:lineRule="exact"/>
        <w:ind w:right="-85" w:firstLineChars="200" w:firstLine="640"/>
        <w:rPr>
          <w:rFonts w:ascii="仿宋_GB2312" w:eastAsia="仿宋_GB2312" w:hAnsi="仿宋"/>
          <w:sz w:val="32"/>
          <w:szCs w:val="32"/>
        </w:rPr>
      </w:pPr>
      <w:r>
        <w:rPr>
          <w:rFonts w:ascii="仿宋_GB2312" w:eastAsia="仿宋_GB2312" w:hAnsi="仿宋" w:hint="eastAsia"/>
          <w:sz w:val="32"/>
          <w:szCs w:val="32"/>
        </w:rPr>
        <w:t>员工总数：年度平均从业人数（含所有被合并报表企业的人数）。</w:t>
      </w:r>
    </w:p>
    <w:p w:rsidR="00510454" w:rsidRDefault="005767AE" w:rsidP="00807BFD">
      <w:pPr>
        <w:spacing w:line="620" w:lineRule="exact"/>
        <w:ind w:right="-85" w:firstLineChars="200" w:firstLine="640"/>
        <w:rPr>
          <w:rFonts w:ascii="仿宋_GB2312" w:eastAsia="仿宋_GB2312" w:hAnsi="仿宋"/>
          <w:color w:val="FF0000"/>
          <w:sz w:val="32"/>
          <w:szCs w:val="32"/>
        </w:rPr>
      </w:pPr>
      <w:r>
        <w:rPr>
          <w:rFonts w:ascii="仿宋_GB2312" w:eastAsia="仿宋_GB2312" w:hAnsi="仿宋" w:hint="eastAsia"/>
          <w:sz w:val="32"/>
          <w:szCs w:val="32"/>
        </w:rPr>
        <w:t>海外收入、海外资产、海外员工是指企业在中国大陆以外的营业收入、资产、员工。海外收入以平均汇率折算,海外资产以年底汇率折算。平均汇率：2019年为1美元=6.8875元人民币，2020年为1美元=</w:t>
      </w:r>
      <w:r>
        <w:rPr>
          <w:rFonts w:ascii="仿宋_GB2312" w:eastAsia="仿宋_GB2312" w:hint="eastAsia"/>
          <w:sz w:val="32"/>
          <w:szCs w:val="32"/>
        </w:rPr>
        <w:t xml:space="preserve"> </w:t>
      </w:r>
      <w:r>
        <w:rPr>
          <w:rFonts w:ascii="仿宋_GB2312" w:eastAsia="仿宋_GB2312" w:hAnsi="仿宋" w:hint="eastAsia"/>
          <w:sz w:val="32"/>
          <w:szCs w:val="32"/>
        </w:rPr>
        <w:t>6.8961元人民币；海外资产以年底汇率折算，年底汇率: 2019年为1美元=6.9762元人民</w:t>
      </w:r>
      <w:r>
        <w:rPr>
          <w:rFonts w:ascii="仿宋_GB2312" w:eastAsia="仿宋_GB2312" w:hAnsi="仿宋" w:hint="eastAsia"/>
          <w:sz w:val="32"/>
          <w:szCs w:val="32"/>
        </w:rPr>
        <w:lastRenderedPageBreak/>
        <w:t>币，2020年为1美元=</w:t>
      </w:r>
      <w:r>
        <w:rPr>
          <w:rFonts w:ascii="仿宋_GB2312" w:eastAsia="仿宋_GB2312" w:hint="eastAsia"/>
          <w:sz w:val="32"/>
          <w:szCs w:val="32"/>
        </w:rPr>
        <w:t xml:space="preserve"> </w:t>
      </w:r>
      <w:r>
        <w:rPr>
          <w:rFonts w:ascii="仿宋_GB2312" w:eastAsia="仿宋_GB2312" w:hAnsi="仿宋" w:hint="eastAsia"/>
          <w:sz w:val="32"/>
          <w:szCs w:val="32"/>
        </w:rPr>
        <w:t>6.5249元人民币。</w:t>
      </w:r>
    </w:p>
    <w:p w:rsidR="00510454" w:rsidRDefault="005767AE">
      <w:pPr>
        <w:spacing w:line="640" w:lineRule="exact"/>
        <w:ind w:right="-87" w:firstLineChars="200" w:firstLine="640"/>
        <w:rPr>
          <w:rFonts w:ascii="仿宋_GB2312" w:eastAsia="仿宋_GB2312" w:hAnsi="仿宋"/>
          <w:sz w:val="32"/>
          <w:szCs w:val="32"/>
        </w:rPr>
      </w:pPr>
      <w:r>
        <w:rPr>
          <w:rFonts w:ascii="仿宋_GB2312" w:eastAsia="仿宋_GB2312" w:hAnsi="仿宋" w:hint="eastAsia"/>
          <w:sz w:val="32"/>
          <w:szCs w:val="32"/>
        </w:rPr>
        <w:t>四、战略性新兴产业的行业分类代码如下：1、新一代信息技术产业；2、高端装备制造产业；3、新材料产业；4、生物产业；5、新能源汽车产业；6、新能源产业；7、节能环保产业；8、数字创意产业；9、相关服务业。</w:t>
      </w:r>
    </w:p>
    <w:p w:rsidR="00510454" w:rsidRDefault="005767AE">
      <w:pPr>
        <w:spacing w:line="640" w:lineRule="exact"/>
        <w:ind w:right="-87" w:firstLineChars="200" w:firstLine="640"/>
        <w:rPr>
          <w:rFonts w:ascii="仿宋_GB2312" w:eastAsia="仿宋_GB2312" w:hAnsi="仿宋"/>
          <w:sz w:val="32"/>
          <w:szCs w:val="32"/>
        </w:rPr>
      </w:pPr>
      <w:r>
        <w:rPr>
          <w:rFonts w:ascii="仿宋_GB2312" w:eastAsia="仿宋_GB2312" w:hAnsi="仿宋" w:hint="eastAsia"/>
          <w:sz w:val="32"/>
          <w:szCs w:val="32"/>
        </w:rPr>
        <w:t>五、企业信息栏：请按照要求填写或打√。</w:t>
      </w:r>
    </w:p>
    <w:p w:rsidR="00510454" w:rsidRDefault="005767AE">
      <w:pPr>
        <w:spacing w:line="640" w:lineRule="exact"/>
        <w:ind w:right="-87" w:firstLineChars="200" w:firstLine="640"/>
        <w:rPr>
          <w:rFonts w:ascii="仿宋_GB2312" w:eastAsia="仿宋_GB2312" w:hAnsi="仿宋"/>
          <w:color w:val="000000" w:themeColor="text1"/>
          <w:sz w:val="32"/>
        </w:rPr>
      </w:pPr>
      <w:r>
        <w:rPr>
          <w:rFonts w:ascii="仿宋_GB2312" w:eastAsia="仿宋_GB2312" w:hAnsi="仿宋" w:hint="eastAsia"/>
          <w:sz w:val="32"/>
          <w:szCs w:val="32"/>
        </w:rPr>
        <w:t>六、所有填报栏目一定要完整，资料要仔细核对，保证名称及数据的准确性，并请签字、盖章。</w:t>
      </w:r>
    </w:p>
    <w:p w:rsidR="00510454" w:rsidRDefault="00510454">
      <w:bookmarkStart w:id="0" w:name="_GoBack"/>
      <w:bookmarkEnd w:id="0"/>
    </w:p>
    <w:sectPr w:rsidR="00510454" w:rsidSect="005104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1BF" w:rsidRDefault="006C61BF">
      <w:pPr>
        <w:spacing w:line="240" w:lineRule="auto"/>
      </w:pPr>
      <w:r>
        <w:separator/>
      </w:r>
    </w:p>
  </w:endnote>
  <w:endnote w:type="continuationSeparator" w:id="0">
    <w:p w:rsidR="006C61BF" w:rsidRDefault="006C61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1BF" w:rsidRDefault="006C61BF">
      <w:pPr>
        <w:spacing w:line="240" w:lineRule="auto"/>
      </w:pPr>
      <w:r>
        <w:separator/>
      </w:r>
    </w:p>
  </w:footnote>
  <w:footnote w:type="continuationSeparator" w:id="0">
    <w:p w:rsidR="006C61BF" w:rsidRDefault="006C61B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454"/>
    <w:rsid w:val="00510454"/>
    <w:rsid w:val="005767AE"/>
    <w:rsid w:val="006C61BF"/>
    <w:rsid w:val="00807BFD"/>
    <w:rsid w:val="00AA3259"/>
    <w:rsid w:val="00DA3633"/>
    <w:rsid w:val="00E957D1"/>
    <w:rsid w:val="6A765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454"/>
    <w:pPr>
      <w:widowControl w:val="0"/>
      <w:adjustRightInd w:val="0"/>
      <w:spacing w:line="360" w:lineRule="atLeast"/>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2021-04-30T09:47:00Z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6D2BAF84F6D04417A43A0601161D49E2</vt:lpwstr>
  </property>
</Properties>
</file>